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95" w:type="dxa"/>
        <w:tblLook w:val="04A0" w:firstRow="1" w:lastRow="0" w:firstColumn="1" w:lastColumn="0" w:noHBand="0" w:noVBand="1"/>
      </w:tblPr>
      <w:tblGrid>
        <w:gridCol w:w="5485"/>
        <w:gridCol w:w="2790"/>
        <w:gridCol w:w="1620"/>
        <w:gridCol w:w="1800"/>
      </w:tblGrid>
      <w:tr w:rsidR="005136C5" w14:paraId="7EFC7C39" w14:textId="77777777" w:rsidTr="69E883DE">
        <w:trPr>
          <w:trHeight w:val="1351"/>
        </w:trPr>
        <w:tc>
          <w:tcPr>
            <w:tcW w:w="5485" w:type="dxa"/>
          </w:tcPr>
          <w:p w14:paraId="0C570418" w14:textId="58D08D4E" w:rsidR="00B14A81" w:rsidRDefault="00302F98">
            <w:r>
              <w:t>Agents (full style and address)</w:t>
            </w:r>
            <w:r w:rsidR="00323410">
              <w:t>:</w:t>
            </w:r>
          </w:p>
          <w:p w14:paraId="72486C96" w14:textId="12EC2DF9" w:rsidR="00302F98" w:rsidRDefault="00302F98" w:rsidP="00677A8C"/>
        </w:tc>
        <w:tc>
          <w:tcPr>
            <w:tcW w:w="6210" w:type="dxa"/>
            <w:gridSpan w:val="3"/>
            <w:tcBorders>
              <w:top w:val="nil"/>
              <w:right w:val="nil"/>
            </w:tcBorders>
          </w:tcPr>
          <w:p w14:paraId="3F6D1B2E" w14:textId="0F2FA1D9" w:rsidR="00B14A81" w:rsidRPr="005136C5" w:rsidRDefault="716FB87A" w:rsidP="1DF236E0">
            <w:pPr>
              <w:rPr>
                <w:b/>
                <w:bCs/>
                <w:sz w:val="40"/>
                <w:szCs w:val="40"/>
              </w:rPr>
            </w:pPr>
            <w:r>
              <w:rPr>
                <w:noProof/>
              </w:rPr>
              <w:drawing>
                <wp:inline distT="0" distB="0" distL="0" distR="0" wp14:anchorId="0AD6B506" wp14:editId="61725ABF">
                  <wp:extent cx="2292985" cy="969010"/>
                  <wp:effectExtent l="0" t="0" r="12065" b="2540"/>
                  <wp:docPr id="3" name="Picture 3" descr="A screenshot of a video game&#10;&#10;Description automatically generated with medium confidence">
                    <a:extLst xmlns:a="http://schemas.openxmlformats.org/drawingml/2006/main">
                      <a:ext uri="{FF2B5EF4-FFF2-40B4-BE49-F238E27FC236}">
                        <a16:creationId xmlns:a16="http://schemas.microsoft.com/office/drawing/2014/main" id="{E756D650-E32C-4E15-AE6C-0529EECD4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292985" cy="969010"/>
                          </a:xfrm>
                          <a:prstGeom prst="rect">
                            <a:avLst/>
                          </a:prstGeom>
                        </pic:spPr>
                      </pic:pic>
                    </a:graphicData>
                  </a:graphic>
                </wp:inline>
              </w:drawing>
            </w:r>
            <w:r w:rsidR="32884B8C">
              <w:t xml:space="preserve">                    </w:t>
            </w:r>
            <w:r w:rsidR="03E5CE30">
              <w:t xml:space="preserve">       </w:t>
            </w:r>
          </w:p>
          <w:p w14:paraId="5F7AA443" w14:textId="5CC4B51E" w:rsidR="00B14A81" w:rsidRPr="005136C5" w:rsidRDefault="6FC0B567" w:rsidP="1DF236E0">
            <w:pPr>
              <w:rPr>
                <w:b/>
                <w:bCs/>
                <w:sz w:val="40"/>
                <w:szCs w:val="40"/>
              </w:rPr>
            </w:pPr>
            <w:r w:rsidRPr="1DF236E0">
              <w:rPr>
                <w:b/>
                <w:bCs/>
                <w:sz w:val="40"/>
                <w:szCs w:val="40"/>
              </w:rPr>
              <w:t>FLS BOOKING NOTE</w:t>
            </w:r>
          </w:p>
        </w:tc>
      </w:tr>
      <w:tr w:rsidR="007A0EFC" w:rsidRPr="003F2F22" w14:paraId="2DAEE697" w14:textId="77777777" w:rsidTr="009354DB">
        <w:trPr>
          <w:trHeight w:val="1576"/>
        </w:trPr>
        <w:tc>
          <w:tcPr>
            <w:tcW w:w="5485" w:type="dxa"/>
          </w:tcPr>
          <w:p w14:paraId="793293DA" w14:textId="77777777" w:rsidR="009354DB" w:rsidRDefault="009354DB" w:rsidP="009354DB">
            <w:r>
              <w:t>Carrier (full style and address):</w:t>
            </w:r>
          </w:p>
          <w:p w14:paraId="666546A5" w14:textId="245F019E" w:rsidR="007A0EFC" w:rsidRDefault="009354DB" w:rsidP="009354DB">
            <w:r>
              <w:t>FLS’s local office full style</w:t>
            </w:r>
          </w:p>
        </w:tc>
        <w:tc>
          <w:tcPr>
            <w:tcW w:w="6210" w:type="dxa"/>
            <w:gridSpan w:val="3"/>
          </w:tcPr>
          <w:p w14:paraId="69D1C20E" w14:textId="3E605D04" w:rsidR="007A0EFC" w:rsidRPr="00080638" w:rsidRDefault="007A0EFC">
            <w:r w:rsidRPr="00080638">
              <w:t>Vessel</w:t>
            </w:r>
            <w:r>
              <w:t xml:space="preserve">: </w:t>
            </w:r>
          </w:p>
          <w:p w14:paraId="4542C5E6" w14:textId="1B37A646" w:rsidR="007A0EFC" w:rsidRPr="003F2F22" w:rsidRDefault="007A0EFC"/>
        </w:tc>
      </w:tr>
      <w:tr w:rsidR="00284E09" w14:paraId="5C13BE75" w14:textId="77777777" w:rsidTr="69E883DE">
        <w:trPr>
          <w:trHeight w:val="631"/>
        </w:trPr>
        <w:tc>
          <w:tcPr>
            <w:tcW w:w="5485" w:type="dxa"/>
            <w:vMerge w:val="restart"/>
          </w:tcPr>
          <w:p w14:paraId="42E8DD6C" w14:textId="14983DBA" w:rsidR="00EE5BAA" w:rsidRPr="00EE5BAA" w:rsidRDefault="00284E09" w:rsidP="00EE5BAA">
            <w:r w:rsidRPr="00EE5BAA">
              <w:t>Merchant (full style and address)</w:t>
            </w:r>
          </w:p>
          <w:p w14:paraId="69671AED" w14:textId="603FCC85" w:rsidR="00E12B97" w:rsidRPr="00EE5BAA" w:rsidRDefault="00E12B97" w:rsidP="00566AF3">
            <w:pPr>
              <w:rPr>
                <w:lang w:bidi="th-TH"/>
              </w:rPr>
            </w:pPr>
          </w:p>
        </w:tc>
        <w:tc>
          <w:tcPr>
            <w:tcW w:w="6210" w:type="dxa"/>
            <w:gridSpan w:val="3"/>
          </w:tcPr>
          <w:p w14:paraId="5833493C" w14:textId="42FE5A51" w:rsidR="00323410" w:rsidRPr="002153C6" w:rsidRDefault="00284E09" w:rsidP="00284E09">
            <w:r w:rsidRPr="002153C6">
              <w:t xml:space="preserve">Time </w:t>
            </w:r>
            <w:r w:rsidR="008A1087">
              <w:t>of</w:t>
            </w:r>
            <w:r w:rsidRPr="002153C6">
              <w:t xml:space="preserve"> shipment (about)</w:t>
            </w:r>
            <w:r w:rsidR="0097263F" w:rsidRPr="002153C6">
              <w:t xml:space="preserve">  </w:t>
            </w:r>
          </w:p>
          <w:p w14:paraId="40DC3CC2" w14:textId="40F27CA8" w:rsidR="008A1087" w:rsidRDefault="008A1087" w:rsidP="00323410">
            <w:pPr>
              <w:pStyle w:val="NoSpacing"/>
            </w:pPr>
          </w:p>
        </w:tc>
      </w:tr>
      <w:tr w:rsidR="00284E09" w:rsidRPr="00FC6988" w14:paraId="3095861D" w14:textId="77777777" w:rsidTr="69E883DE">
        <w:trPr>
          <w:trHeight w:val="604"/>
        </w:trPr>
        <w:tc>
          <w:tcPr>
            <w:tcW w:w="5485" w:type="dxa"/>
            <w:vMerge/>
          </w:tcPr>
          <w:p w14:paraId="4FC3CDE2" w14:textId="77777777" w:rsidR="00284E09" w:rsidRDefault="00284E09" w:rsidP="00284E09"/>
        </w:tc>
        <w:tc>
          <w:tcPr>
            <w:tcW w:w="6210" w:type="dxa"/>
            <w:gridSpan w:val="3"/>
          </w:tcPr>
          <w:p w14:paraId="629F35B0" w14:textId="5391A296" w:rsidR="00323410" w:rsidRDefault="00284E09" w:rsidP="00284E09">
            <w:r>
              <w:t>Port of loading (Carrier’s berth unless otherwise specified)</w:t>
            </w:r>
            <w:r w:rsidR="00323410">
              <w:t>:</w:t>
            </w:r>
          </w:p>
          <w:p w14:paraId="6D88B506" w14:textId="31A51FD6" w:rsidR="00DD0BA3" w:rsidRPr="00085316" w:rsidRDefault="00DD0BA3" w:rsidP="00284E09"/>
        </w:tc>
      </w:tr>
      <w:tr w:rsidR="00284E09" w:rsidRPr="00007254" w14:paraId="6DBC11CD" w14:textId="77777777" w:rsidTr="69E883DE">
        <w:trPr>
          <w:trHeight w:val="622"/>
        </w:trPr>
        <w:tc>
          <w:tcPr>
            <w:tcW w:w="5485" w:type="dxa"/>
            <w:vMerge/>
          </w:tcPr>
          <w:p w14:paraId="778F6086" w14:textId="77777777" w:rsidR="00284E09" w:rsidRPr="00085316" w:rsidRDefault="00284E09" w:rsidP="00284E09"/>
        </w:tc>
        <w:tc>
          <w:tcPr>
            <w:tcW w:w="6210" w:type="dxa"/>
            <w:gridSpan w:val="3"/>
          </w:tcPr>
          <w:p w14:paraId="51E79499" w14:textId="4814560C" w:rsidR="00323410" w:rsidRDefault="00284E09" w:rsidP="00284E09">
            <w:r>
              <w:t>Port of discharging (</w:t>
            </w:r>
            <w:r w:rsidR="007A0EFC">
              <w:t>Carrier’s berth unless otherwise specified</w:t>
            </w:r>
            <w:r>
              <w:t>)</w:t>
            </w:r>
            <w:r w:rsidR="00323410">
              <w:t>:</w:t>
            </w:r>
          </w:p>
          <w:p w14:paraId="6AD0F7B7" w14:textId="26C31050" w:rsidR="00DD0BA3" w:rsidRPr="00B15517" w:rsidRDefault="00DD0BA3" w:rsidP="00284E09"/>
        </w:tc>
      </w:tr>
      <w:tr w:rsidR="00284E09" w14:paraId="6EB84C47" w14:textId="77777777" w:rsidTr="69E883DE">
        <w:trPr>
          <w:trHeight w:val="1153"/>
        </w:trPr>
        <w:tc>
          <w:tcPr>
            <w:tcW w:w="5485" w:type="dxa"/>
          </w:tcPr>
          <w:p w14:paraId="1C9E9DEF" w14:textId="77777777" w:rsidR="00284E09" w:rsidRDefault="00284E09" w:rsidP="00284E09">
            <w:r>
              <w:t>Container No./Seal No./ marks and Number (if available)</w:t>
            </w:r>
          </w:p>
          <w:p w14:paraId="63220FFA" w14:textId="19637BE9" w:rsidR="006827E9" w:rsidRDefault="00DD0BA3" w:rsidP="00080638">
            <w:r>
              <w:t>Marking as per provided packing lists</w:t>
            </w:r>
            <w:r w:rsidR="00DC274A">
              <w:t>:</w:t>
            </w:r>
          </w:p>
          <w:p w14:paraId="6303DC15" w14:textId="40C1FA98" w:rsidR="00B608B6" w:rsidRDefault="00B608B6" w:rsidP="00080638"/>
        </w:tc>
        <w:tc>
          <w:tcPr>
            <w:tcW w:w="2790" w:type="dxa"/>
          </w:tcPr>
          <w:p w14:paraId="20F8723D" w14:textId="306E7AA3" w:rsidR="006827E9" w:rsidRDefault="00284E09" w:rsidP="00B608B6">
            <w:r>
              <w:t>Number and kind of packages; description of cargo</w:t>
            </w:r>
            <w:r w:rsidR="00DC274A">
              <w:t>:</w:t>
            </w:r>
          </w:p>
          <w:p w14:paraId="02652FEB" w14:textId="2455900D" w:rsidR="00DC274A" w:rsidRDefault="00DC274A" w:rsidP="00B608B6"/>
        </w:tc>
        <w:tc>
          <w:tcPr>
            <w:tcW w:w="1620" w:type="dxa"/>
          </w:tcPr>
          <w:p w14:paraId="35A87AF9" w14:textId="77777777" w:rsidR="0015282A" w:rsidRPr="008B0E59" w:rsidRDefault="00284E09" w:rsidP="00284E09">
            <w:r w:rsidRPr="008B0E59">
              <w:t xml:space="preserve">Gross weight </w:t>
            </w:r>
          </w:p>
          <w:p w14:paraId="6E9AEDAC" w14:textId="77777777" w:rsidR="008D3817" w:rsidRPr="008B0E59" w:rsidRDefault="00284E09" w:rsidP="00284E09">
            <w:r w:rsidRPr="008B0E59">
              <w:t>(if available)</w:t>
            </w:r>
            <w:r w:rsidR="00DC274A" w:rsidRPr="008B0E59">
              <w:t>:</w:t>
            </w:r>
          </w:p>
          <w:p w14:paraId="7EEC0CE7" w14:textId="0184050A" w:rsidR="00DD0BA3" w:rsidRPr="008B0E59" w:rsidRDefault="003962F7" w:rsidP="00284E09">
            <w:r w:rsidRPr="008B0E59">
              <w:t xml:space="preserve">Maximum of </w:t>
            </w:r>
          </w:p>
        </w:tc>
        <w:tc>
          <w:tcPr>
            <w:tcW w:w="1800" w:type="dxa"/>
          </w:tcPr>
          <w:p w14:paraId="1808312D" w14:textId="337A2766" w:rsidR="00323410" w:rsidRPr="008B0E59" w:rsidRDefault="00284E09" w:rsidP="00284E09">
            <w:r w:rsidRPr="008B0E59">
              <w:t>Measurement (if available)</w:t>
            </w:r>
            <w:r w:rsidR="00DC274A" w:rsidRPr="008B0E59">
              <w:t>:</w:t>
            </w:r>
          </w:p>
          <w:p w14:paraId="40B80583" w14:textId="708D6E6B" w:rsidR="00DD0BA3" w:rsidRPr="008B0E59" w:rsidRDefault="003962F7" w:rsidP="00284E09">
            <w:r w:rsidRPr="008B0E59">
              <w:t xml:space="preserve"> </w:t>
            </w:r>
            <w:r w:rsidR="001612C9" w:rsidRPr="008B0E59">
              <w:t>CBM</w:t>
            </w:r>
          </w:p>
        </w:tc>
      </w:tr>
      <w:tr w:rsidR="00284E09" w14:paraId="4D90A2F5" w14:textId="77777777" w:rsidTr="69E883DE">
        <w:trPr>
          <w:trHeight w:val="604"/>
        </w:trPr>
        <w:tc>
          <w:tcPr>
            <w:tcW w:w="5485" w:type="dxa"/>
            <w:vMerge w:val="restart"/>
          </w:tcPr>
          <w:p w14:paraId="10C5CB9F" w14:textId="2AEF6DF9" w:rsidR="00323410" w:rsidRPr="0030285D" w:rsidRDefault="00284E09" w:rsidP="00284E09">
            <w:r w:rsidRPr="0030285D">
              <w:t>Freight detail</w:t>
            </w:r>
            <w:r w:rsidR="003432CD">
              <w:t>s</w:t>
            </w:r>
            <w:r w:rsidRPr="0030285D">
              <w:t xml:space="preserve"> and charges</w:t>
            </w:r>
            <w:r w:rsidR="00323410" w:rsidRPr="0030285D">
              <w:t>:</w:t>
            </w:r>
          </w:p>
          <w:p w14:paraId="07E1D354" w14:textId="7C68ED4C" w:rsidR="00E12B97" w:rsidRPr="0030285D" w:rsidRDefault="00E12B97" w:rsidP="00677A8C">
            <w:pPr>
              <w:pStyle w:val="NormalWeb"/>
              <w:spacing w:before="0" w:beforeAutospacing="0" w:after="0" w:afterAutospacing="0"/>
              <w:rPr>
                <w:b/>
                <w:bCs/>
              </w:rPr>
            </w:pPr>
          </w:p>
        </w:tc>
        <w:tc>
          <w:tcPr>
            <w:tcW w:w="6210" w:type="dxa"/>
            <w:gridSpan w:val="3"/>
          </w:tcPr>
          <w:p w14:paraId="3C631B1F" w14:textId="29BFD718" w:rsidR="00323410" w:rsidRPr="0030285D" w:rsidRDefault="00284E09" w:rsidP="00284E09">
            <w:r w:rsidRPr="0030285D">
              <w:t xml:space="preserve">Freight </w:t>
            </w:r>
            <w:r w:rsidR="00B00B43" w:rsidRPr="0030285D">
              <w:t xml:space="preserve">payment </w:t>
            </w:r>
            <w:r w:rsidRPr="0030285D">
              <w:t>(state pre-payable or payable at destination)</w:t>
            </w:r>
            <w:r w:rsidR="00323410" w:rsidRPr="0030285D">
              <w:t>:</w:t>
            </w:r>
          </w:p>
          <w:p w14:paraId="0BEAE645" w14:textId="4F35EFE3" w:rsidR="00326461" w:rsidRPr="0030285D" w:rsidRDefault="006330B2" w:rsidP="00284E09">
            <w:r w:rsidRPr="0030285D">
              <w:t>Freight</w:t>
            </w:r>
            <w:r w:rsidR="00735373" w:rsidRPr="0030285D">
              <w:t xml:space="preserve"> to be</w:t>
            </w:r>
            <w:r w:rsidR="00902451" w:rsidRPr="0030285D">
              <w:t xml:space="preserve"> payable </w:t>
            </w:r>
            <w:r w:rsidR="00677A8C">
              <w:t xml:space="preserve">XX </w:t>
            </w:r>
            <w:r w:rsidR="00902451" w:rsidRPr="0030285D">
              <w:t xml:space="preserve">days after completion of </w:t>
            </w:r>
            <w:r w:rsidR="0030285D">
              <w:t xml:space="preserve">loading </w:t>
            </w:r>
          </w:p>
        </w:tc>
      </w:tr>
      <w:tr w:rsidR="00284E09" w14:paraId="1550C84C" w14:textId="77777777" w:rsidTr="69E883DE">
        <w:trPr>
          <w:trHeight w:val="631"/>
        </w:trPr>
        <w:tc>
          <w:tcPr>
            <w:tcW w:w="5485" w:type="dxa"/>
            <w:vMerge/>
          </w:tcPr>
          <w:p w14:paraId="37E15A33" w14:textId="77777777" w:rsidR="00284E09" w:rsidRPr="0030285D" w:rsidRDefault="00284E09" w:rsidP="00284E09"/>
        </w:tc>
        <w:tc>
          <w:tcPr>
            <w:tcW w:w="6210" w:type="dxa"/>
            <w:gridSpan w:val="3"/>
          </w:tcPr>
          <w:p w14:paraId="21DD40F8" w14:textId="3FAB79DA" w:rsidR="00323410" w:rsidRPr="0030285D" w:rsidRDefault="00284E09" w:rsidP="00284E09">
            <w:r w:rsidRPr="0030285D">
              <w:t>Daily detention and/or demurrage</w:t>
            </w:r>
            <w:r w:rsidR="00323410" w:rsidRPr="0030285D">
              <w:t>:</w:t>
            </w:r>
          </w:p>
          <w:p w14:paraId="4844DFF6" w14:textId="03EEA359" w:rsidR="00AF1A10" w:rsidRPr="0030285D" w:rsidRDefault="00E12B97" w:rsidP="00284E09">
            <w:r w:rsidRPr="0030285D">
              <w:t>USD</w:t>
            </w:r>
            <w:r w:rsidR="00D33824" w:rsidRPr="0030285D">
              <w:t xml:space="preserve"> </w:t>
            </w:r>
            <w:r w:rsidR="00677A8C">
              <w:t>XX</w:t>
            </w:r>
            <w:r w:rsidR="009D1149">
              <w:t>.</w:t>
            </w:r>
            <w:r w:rsidR="00677A8C">
              <w:t>XXX</w:t>
            </w:r>
            <w:r w:rsidRPr="0030285D">
              <w:t xml:space="preserve"> PDPR</w:t>
            </w:r>
          </w:p>
        </w:tc>
      </w:tr>
      <w:tr w:rsidR="00284E09" w14:paraId="58C1A214" w14:textId="77777777" w:rsidTr="69E883DE">
        <w:trPr>
          <w:trHeight w:val="4753"/>
        </w:trPr>
        <w:tc>
          <w:tcPr>
            <w:tcW w:w="11695" w:type="dxa"/>
            <w:gridSpan w:val="4"/>
            <w:tcBorders>
              <w:bottom w:val="single" w:sz="4" w:space="0" w:color="auto"/>
            </w:tcBorders>
          </w:tcPr>
          <w:p w14:paraId="67AF9F76" w14:textId="78A73B2A" w:rsidR="00284E09" w:rsidRDefault="00284E09" w:rsidP="00284E09">
            <w:r>
              <w:t>Special terms, if agreed (including Liner Terms or F.I.O.S Terms for loading/discharging)</w:t>
            </w:r>
          </w:p>
          <w:p w14:paraId="08116410" w14:textId="225817D4" w:rsidR="00CC5BE2" w:rsidRDefault="00CC5BE2" w:rsidP="00284E09"/>
          <w:p w14:paraId="3C913F6D" w14:textId="77777777" w:rsidR="007A69C5" w:rsidRDefault="007A69C5" w:rsidP="007A69C5">
            <w:r>
              <w:t xml:space="preserve">- Liner terms hook to hook/ LIFO/ FILO/ FIOS/ </w:t>
            </w:r>
          </w:p>
          <w:p w14:paraId="2B3B0D91" w14:textId="77777777" w:rsidR="007A69C5" w:rsidRDefault="007A69C5" w:rsidP="007A69C5">
            <w:r>
              <w:t>- Under/on deck in carrier’s option</w:t>
            </w:r>
          </w:p>
          <w:p w14:paraId="13844CC5" w14:textId="77777777" w:rsidR="007A69C5" w:rsidRDefault="007A69C5" w:rsidP="007A69C5">
            <w:r>
              <w:t>- All units stackable/ non stackable/ partly stackable</w:t>
            </w:r>
          </w:p>
          <w:p w14:paraId="0722BD28" w14:textId="77777777" w:rsidR="007A69C5" w:rsidRDefault="007A69C5" w:rsidP="007A69C5">
            <w:r>
              <w:t xml:space="preserve">- as part cargo/ solely </w:t>
            </w:r>
          </w:p>
          <w:p w14:paraId="6D093C4B" w14:textId="70ABBA9B" w:rsidR="00FB2A14" w:rsidRPr="00677A8C" w:rsidRDefault="00FB2A14" w:rsidP="007A69C5">
            <w:pPr>
              <w:rPr>
                <w:rFonts w:ascii="Calibri" w:hAnsi="Calibri" w:cs="Calibri"/>
              </w:rPr>
            </w:pPr>
            <w:r w:rsidRPr="00677A8C">
              <w:rPr>
                <w:rFonts w:ascii="Calibri" w:hAnsi="Calibri" w:cs="Calibri"/>
              </w:rPr>
              <w:t xml:space="preserve">- </w:t>
            </w:r>
            <w:proofErr w:type="gramStart"/>
            <w:r w:rsidRPr="00677A8C">
              <w:rPr>
                <w:rFonts w:ascii="Calibri" w:hAnsi="Calibri" w:cs="Calibri"/>
              </w:rPr>
              <w:t>non DG</w:t>
            </w:r>
            <w:proofErr w:type="gramEnd"/>
          </w:p>
          <w:p w14:paraId="210BC118" w14:textId="77777777" w:rsidR="00903B90" w:rsidRDefault="00903B90" w:rsidP="00903B90">
            <w:pPr>
              <w:pStyle w:val="NormalWeb"/>
              <w:spacing w:before="0" w:beforeAutospacing="0" w:after="0" w:afterAutospacing="0"/>
            </w:pPr>
            <w:r>
              <w:t>- Carriers berth both ends</w:t>
            </w:r>
          </w:p>
          <w:p w14:paraId="7E6C4464" w14:textId="69D54B9F" w:rsidR="00BA67FC" w:rsidRDefault="00903B90" w:rsidP="00BA67FC">
            <w:pPr>
              <w:pStyle w:val="NormalWeb"/>
              <w:spacing w:before="0" w:beforeAutospacing="0" w:after="0" w:afterAutospacing="0"/>
            </w:pPr>
            <w:r>
              <w:t>- Carriers agent both ends</w:t>
            </w:r>
            <w:r w:rsidR="00BA67FC">
              <w:br/>
              <w:t>- Hooking on/off charges shall be for the Merchants account. </w:t>
            </w:r>
          </w:p>
          <w:p w14:paraId="2123627F" w14:textId="33675FB1" w:rsidR="002B3704" w:rsidRDefault="00BA67FC" w:rsidP="00BA67FC">
            <w:r>
              <w:t xml:space="preserve">- Carrier </w:t>
            </w:r>
            <w:r w:rsidRPr="00947A16">
              <w:t>ha</w:t>
            </w:r>
            <w:r>
              <w:t>s the</w:t>
            </w:r>
            <w:r w:rsidRPr="00947A16">
              <w:t xml:space="preserve"> right to measure cargo prior to loading and freight tons for each package will be worked out. Freight will be payable upon actual freight tons as per measure finding.</w:t>
            </w:r>
          </w:p>
          <w:p w14:paraId="561E07D8" w14:textId="77777777" w:rsidR="00087847" w:rsidRPr="00677A8C" w:rsidRDefault="00087847" w:rsidP="00087847">
            <w:r w:rsidRPr="00677A8C">
              <w:t xml:space="preserve">-cargo is to be loaded / discharged as per Clause 10 printed text i.e. as fast as the vessel can receive/deliver during day and night, Saturdays, Sundays and holidays included as per Master’s requirements. Detention to apply in the event that vessel is delayed either from reaching the berth and / or continuing cargo operations either at the loading or discharge berth by reason of the unavailability of cargo or the non-completion of cargo document, cargo formalities, missing free pratique, custom-, port clearance or other formalities or Merchants, Shippers, Terminals, Stevedores or receivers failure to tender or receive the goods upon vessels arrival, swell, congestion and/or any other reason whatsoever. </w:t>
            </w:r>
          </w:p>
          <w:p w14:paraId="591FC5DB" w14:textId="77777777" w:rsidR="00087847" w:rsidRPr="00677A8C" w:rsidRDefault="00087847" w:rsidP="00087847">
            <w:r w:rsidRPr="00677A8C">
              <w:t xml:space="preserve">-detention at load ports (if any) to be paid together with ocean freight.  </w:t>
            </w:r>
          </w:p>
          <w:p w14:paraId="49A8D528" w14:textId="7C82355A" w:rsidR="00087847" w:rsidRPr="00677A8C" w:rsidRDefault="00087847" w:rsidP="00BA67FC">
            <w:r w:rsidRPr="00677A8C">
              <w:t xml:space="preserve">-detention at discharge ports (if any) to be payable day by day on carrier's request or </w:t>
            </w:r>
            <w:r w:rsidR="007A0EFC">
              <w:t>before</w:t>
            </w:r>
            <w:r w:rsidRPr="00677A8C">
              <w:t xml:space="preserve"> completion of discharge.  </w:t>
            </w:r>
          </w:p>
          <w:p w14:paraId="2252A291" w14:textId="77DD0613" w:rsidR="00EE50D6" w:rsidRPr="00677A8C" w:rsidRDefault="00EE50D6" w:rsidP="00EE50D6">
            <w:r w:rsidRPr="00677A8C">
              <w:t xml:space="preserve">-subject to final cargo details/ drawing, </w:t>
            </w:r>
            <w:proofErr w:type="spellStart"/>
            <w:r w:rsidRPr="00677A8C">
              <w:t>CoG</w:t>
            </w:r>
            <w:proofErr w:type="spellEnd"/>
            <w:r w:rsidRPr="00677A8C">
              <w:t xml:space="preserve"> position, lifting/securing arrangement and dimensions</w:t>
            </w:r>
          </w:p>
          <w:p w14:paraId="5D359809" w14:textId="628172FB" w:rsidR="00851F05" w:rsidRPr="00677A8C" w:rsidRDefault="00851F05" w:rsidP="00851F05">
            <w:r w:rsidRPr="00677A8C">
              <w:t>-any special dunnage, spreader bars or other special equipment required to load, discharge or secure the cargo not available on board the vessel to be supplied by the merchant and certification according to local as well as international laws/rules/regulations to be merchant's responsibility; cargo to be fitted with suitable lifting lugs or other adequate means of lifting and center of gravity to be clearly indicated; sufficient lashing points for securing to be placed on the cargo; cargo to be suitably packed for ocean transport.</w:t>
            </w:r>
          </w:p>
          <w:p w14:paraId="6C168841" w14:textId="0193D9D4" w:rsidR="00851F05" w:rsidRPr="00677A8C" w:rsidRDefault="00851F05" w:rsidP="00851F05">
            <w:r w:rsidRPr="00677A8C">
              <w:t xml:space="preserve">-tally for </w:t>
            </w:r>
            <w:r w:rsidR="009874B3" w:rsidRPr="00677A8C">
              <w:t>merchant’s</w:t>
            </w:r>
            <w:r w:rsidRPr="00677A8C">
              <w:t xml:space="preserve"> account (if any)</w:t>
            </w:r>
          </w:p>
          <w:p w14:paraId="289E8ADD" w14:textId="5FF30873" w:rsidR="008C50D6" w:rsidRDefault="004851DD" w:rsidP="008C50D6">
            <w:r w:rsidRPr="00677A8C">
              <w:lastRenderedPageBreak/>
              <w:t xml:space="preserve">-any dunnage and / or wood material whatsoever used and / or provided by the Merchant / Charterer shall be in full compliance </w:t>
            </w:r>
            <w:proofErr w:type="gramStart"/>
            <w:r w:rsidRPr="00677A8C">
              <w:t>of</w:t>
            </w:r>
            <w:proofErr w:type="gramEnd"/>
            <w:r w:rsidRPr="00677A8C">
              <w:t xml:space="preserve"> all regulations including custom, agriculture and health regulations at the loading port as well as the discharging port and shall therefore</w:t>
            </w:r>
            <w:proofErr w:type="gramStart"/>
            <w:r w:rsidRPr="00677A8C">
              <w:t>, in particular, verifiably</w:t>
            </w:r>
            <w:proofErr w:type="gramEnd"/>
            <w:r w:rsidRPr="00677A8C">
              <w:t xml:space="preserve"> be properly fumigated and stamped</w:t>
            </w:r>
            <w:r w:rsidR="00987ABE">
              <w:t>.</w:t>
            </w:r>
            <w:r w:rsidR="00952851">
              <w:t xml:space="preserve"> </w:t>
            </w:r>
            <w:r w:rsidR="008C50D6" w:rsidRPr="003E2224">
              <w:t xml:space="preserve">Any fines, penalties, delays </w:t>
            </w:r>
            <w:proofErr w:type="spellStart"/>
            <w:r w:rsidR="008C50D6" w:rsidRPr="003E2224">
              <w:t>etc</w:t>
            </w:r>
            <w:proofErr w:type="spellEnd"/>
            <w:r w:rsidR="008C50D6" w:rsidRPr="003E2224">
              <w:t xml:space="preserve"> due to non-compliance (if any) to be for Merchant's risk and account, as well as any resulting detention for time lost not due to fault on vessel.</w:t>
            </w:r>
          </w:p>
          <w:p w14:paraId="09D58D54" w14:textId="59508DB0" w:rsidR="00E6293B" w:rsidRPr="00677A8C" w:rsidRDefault="00E6293B" w:rsidP="008C50D6">
            <w:r w:rsidRPr="00677A8C">
              <w:t xml:space="preserve">-Any taxes and/or dues and/or </w:t>
            </w:r>
            <w:proofErr w:type="spellStart"/>
            <w:r w:rsidRPr="00677A8C">
              <w:t>wharfages</w:t>
            </w:r>
            <w:proofErr w:type="spellEnd"/>
            <w:r w:rsidRPr="00677A8C">
              <w:t xml:space="preserve"> and/or other terminal charges on cargo and/or freight or calculated on same to be for Merchant's account. Same on vessel and/or flag for Carrier's account.</w:t>
            </w:r>
          </w:p>
          <w:p w14:paraId="3EADB5B4" w14:textId="5F293422" w:rsidR="008D62F6" w:rsidRPr="00677A8C" w:rsidRDefault="00D64D82" w:rsidP="00E24D45">
            <w:pPr>
              <w:pStyle w:val="NoSpacing"/>
            </w:pPr>
            <w:r w:rsidRPr="00677A8C">
              <w:t xml:space="preserve">- </w:t>
            </w:r>
            <w:r w:rsidR="00B42D57" w:rsidRPr="00677A8C">
              <w:t>Basic War Risk Insurance premium on the Vessel to be for Carrier’s account. Extra War Risk Insurance and / or armed guards required by the Vessel’s underwriters due to the Transportation to be for Merchant’s account. Estimated EWRI to be settled with freight. Balance to be settled upon receipt of actual invoice from underwriters.</w:t>
            </w:r>
          </w:p>
          <w:p w14:paraId="620836D2" w14:textId="4A0186A8" w:rsidR="00D46E07" w:rsidRPr="00677A8C" w:rsidRDefault="00D64D82" w:rsidP="00E24D45">
            <w:pPr>
              <w:pStyle w:val="NoSpacing"/>
            </w:pPr>
            <w:r w:rsidRPr="00677A8C">
              <w:t>-</w:t>
            </w:r>
            <w:r w:rsidR="00CF1069" w:rsidRPr="00677A8C">
              <w:t>If i</w:t>
            </w:r>
            <w:r w:rsidR="00D46E07" w:rsidRPr="00677A8C">
              <w:t>t is intended to load/discharge from/into Merchants barge</w:t>
            </w:r>
            <w:r w:rsidR="003577F6" w:rsidRPr="00677A8C">
              <w:t xml:space="preserve">, it will be </w:t>
            </w:r>
            <w:r w:rsidR="00D46E07" w:rsidRPr="00677A8C">
              <w:t>subject</w:t>
            </w:r>
            <w:r w:rsidR="003577F6" w:rsidRPr="00677A8C">
              <w:t>ed</w:t>
            </w:r>
            <w:r w:rsidR="00D46E07" w:rsidRPr="00677A8C">
              <w:t xml:space="preserve"> to the Carriers approval and review of technical barge specification</w:t>
            </w:r>
            <w:r w:rsidR="00DE02B3" w:rsidRPr="00677A8C">
              <w:t xml:space="preserve"> </w:t>
            </w:r>
          </w:p>
          <w:p w14:paraId="549653BA" w14:textId="77777777" w:rsidR="002A316F" w:rsidRPr="00677A8C" w:rsidRDefault="002A316F" w:rsidP="002A316F">
            <w:pPr>
              <w:pStyle w:val="NoSpacing"/>
            </w:pPr>
            <w:r w:rsidRPr="00677A8C">
              <w:t>-BIMCO VOYWAR 2013, Sanctions Clause for Voyage Charter Parties 2020 and Ship-to-Ship Transfer clauses to apply</w:t>
            </w:r>
          </w:p>
          <w:p w14:paraId="2F76474B" w14:textId="10FF47A9" w:rsidR="002A316F" w:rsidRPr="00677A8C" w:rsidRDefault="002A316F" w:rsidP="00E24D45">
            <w:pPr>
              <w:pStyle w:val="NoSpacing"/>
            </w:pPr>
            <w:r w:rsidRPr="00677A8C">
              <w:t>-BIMCO Infectious or Contagious Diseases Clause for Voyage Charter Parties to apply</w:t>
            </w:r>
          </w:p>
          <w:p w14:paraId="4B792B65" w14:textId="1F125C45" w:rsidR="00A06EEC" w:rsidRPr="004B3224" w:rsidRDefault="00D64D82" w:rsidP="00E24D45">
            <w:pPr>
              <w:pStyle w:val="NoSpacing"/>
            </w:pPr>
            <w:r w:rsidRPr="00522041">
              <w:rPr>
                <w:rFonts w:ascii="Calibri" w:hAnsi="Calibri" w:cs="Calibri"/>
              </w:rPr>
              <w:t>-</w:t>
            </w:r>
            <w:r w:rsidRPr="00522041">
              <w:t xml:space="preserve">COVID-19 </w:t>
            </w:r>
            <w:r w:rsidR="00D33824" w:rsidRPr="00522041">
              <w:t>provisions:</w:t>
            </w:r>
            <w:r w:rsidRPr="00522041">
              <w:t xml:space="preserve"> Amended BIMCO Covid-19 clause (clause 52)</w:t>
            </w:r>
          </w:p>
          <w:p w14:paraId="6A16516A" w14:textId="0BFECDFB" w:rsidR="00FF17DA" w:rsidRPr="004B3224" w:rsidRDefault="00FF17DA" w:rsidP="00FF17DA">
            <w:r>
              <w:t>-</w:t>
            </w:r>
            <w:r w:rsidRPr="004B3224">
              <w:t>Full freight shall be deemed fully earned and due upon concluding of this booking.</w:t>
            </w:r>
          </w:p>
          <w:p w14:paraId="753E4F1C" w14:textId="4930D220" w:rsidR="00FF17DA" w:rsidRPr="0030285D" w:rsidRDefault="00FF17DA" w:rsidP="00FF17DA">
            <w:r w:rsidRPr="0030285D">
              <w:t xml:space="preserve">-Freight is payable </w:t>
            </w:r>
            <w:r w:rsidR="00B3247D">
              <w:t>XX</w:t>
            </w:r>
            <w:r w:rsidRPr="0030285D">
              <w:t xml:space="preserve"> days after completion of loading and non-returnable in any event, ship and or cargo</w:t>
            </w:r>
          </w:p>
          <w:p w14:paraId="726DCBD2" w14:textId="77777777" w:rsidR="00FF17DA" w:rsidRPr="0030285D" w:rsidRDefault="00FF17DA" w:rsidP="00FF17DA">
            <w:r w:rsidRPr="0030285D">
              <w:t>lost or not lost. Carrier’s claim for any charges, surcharges, tolls, dues or levies etc. shall be considered payable in like</w:t>
            </w:r>
          </w:p>
          <w:p w14:paraId="793131CB" w14:textId="77777777" w:rsidR="00FF17DA" w:rsidRPr="0030285D" w:rsidRDefault="00FF17DA" w:rsidP="00FF17DA">
            <w:r w:rsidRPr="0030285D">
              <w:t>manner as soon as those have been incurred.</w:t>
            </w:r>
          </w:p>
          <w:p w14:paraId="02F6E9D4" w14:textId="77777777" w:rsidR="002379C9" w:rsidRPr="00677A8C" w:rsidRDefault="002379C9" w:rsidP="002379C9">
            <w:r w:rsidRPr="00386593">
              <w:rPr>
                <w:color w:val="000000" w:themeColor="text1"/>
              </w:rPr>
              <w:t>-</w:t>
            </w:r>
            <w:r w:rsidRPr="00677A8C">
              <w:t>Freight and all other charges including demurrage shall be considered paid only when received at Carrier’s bank account</w:t>
            </w:r>
          </w:p>
          <w:p w14:paraId="55751360" w14:textId="77777777" w:rsidR="002379C9" w:rsidRPr="00677A8C" w:rsidRDefault="002379C9" w:rsidP="002379C9">
            <w:r w:rsidRPr="00677A8C">
              <w:t>stated below. Merchants remain liable for freight and all other charges including demurrage which are not received by the</w:t>
            </w:r>
          </w:p>
          <w:p w14:paraId="07752DE9" w14:textId="77777777" w:rsidR="002379C9" w:rsidRPr="00677A8C" w:rsidRDefault="002379C9" w:rsidP="002379C9">
            <w:r w:rsidRPr="00677A8C">
              <w:t xml:space="preserve">Carrier under the bank account. Notwithstanding anything else contained herein, </w:t>
            </w:r>
            <w:proofErr w:type="gramStart"/>
            <w:r w:rsidRPr="00677A8C">
              <w:t>any and all</w:t>
            </w:r>
            <w:proofErr w:type="gramEnd"/>
            <w:r w:rsidRPr="00677A8C">
              <w:t xml:space="preserve"> sums due to Carrier under or</w:t>
            </w:r>
          </w:p>
          <w:p w14:paraId="356EFA91" w14:textId="77777777" w:rsidR="002379C9" w:rsidRPr="00677A8C" w:rsidRDefault="002379C9" w:rsidP="002379C9">
            <w:r w:rsidRPr="00677A8C">
              <w:t>in connection with this contract, including but not limited to freight or hire, and demurrage/detention, all as appropriate,</w:t>
            </w:r>
          </w:p>
          <w:p w14:paraId="7D8F6BFB" w14:textId="77777777" w:rsidR="002379C9" w:rsidRPr="00677A8C" w:rsidRDefault="002379C9" w:rsidP="002379C9">
            <w:r w:rsidRPr="00677A8C">
              <w:t>shall be considered paid only when in fact cleared, received into and irrevocably credited to Carrier’s bank account as</w:t>
            </w:r>
          </w:p>
          <w:p w14:paraId="022E7E30" w14:textId="77777777" w:rsidR="002379C9" w:rsidRPr="00677A8C" w:rsidRDefault="002379C9" w:rsidP="002379C9">
            <w:r w:rsidRPr="00677A8C">
              <w:t>stated herein.</w:t>
            </w:r>
          </w:p>
          <w:p w14:paraId="5A2AC327" w14:textId="68698097" w:rsidR="00C3176A" w:rsidRPr="002E21DF" w:rsidRDefault="00C3176A" w:rsidP="00C3176A">
            <w:pPr>
              <w:rPr>
                <w:color w:val="000000" w:themeColor="text1"/>
              </w:rPr>
            </w:pPr>
            <w:r w:rsidRPr="002E21DF">
              <w:rPr>
                <w:color w:val="000000" w:themeColor="text1"/>
              </w:rPr>
              <w:t xml:space="preserve">-BAF: Ocean freight rate is based on present bunker prices at USD 460 </w:t>
            </w:r>
            <w:proofErr w:type="spellStart"/>
            <w:r w:rsidRPr="002E21DF">
              <w:rPr>
                <w:color w:val="000000" w:themeColor="text1"/>
              </w:rPr>
              <w:t>pmt</w:t>
            </w:r>
            <w:proofErr w:type="spellEnd"/>
            <w:r w:rsidRPr="002E21DF">
              <w:rPr>
                <w:color w:val="000000" w:themeColor="text1"/>
              </w:rPr>
              <w:t xml:space="preserve"> for VLSFO.</w:t>
            </w:r>
            <w:r w:rsidR="002E21DF">
              <w:rPr>
                <w:color w:val="000000" w:themeColor="text1"/>
              </w:rPr>
              <w:t xml:space="preserve"> </w:t>
            </w:r>
            <w:r w:rsidRPr="002E21DF">
              <w:rPr>
                <w:color w:val="000000" w:themeColor="text1"/>
              </w:rPr>
              <w:t>Should the bunker price increase above this price, the freight to be revised with USD</w:t>
            </w:r>
            <w:r w:rsidR="002E21DF">
              <w:rPr>
                <w:color w:val="000000" w:themeColor="text1"/>
              </w:rPr>
              <w:t xml:space="preserve"> </w:t>
            </w:r>
            <w:r w:rsidRPr="002E21DF">
              <w:rPr>
                <w:color w:val="000000" w:themeColor="text1"/>
              </w:rPr>
              <w:t xml:space="preserve">5000 lumpsum added for every USD 5 (or pro-rata) increase in bunker prices. United Fuel </w:t>
            </w:r>
            <w:proofErr w:type="spellStart"/>
            <w:r w:rsidRPr="002E21DF">
              <w:rPr>
                <w:color w:val="000000" w:themeColor="text1"/>
              </w:rPr>
              <w:t>Services's</w:t>
            </w:r>
            <w:proofErr w:type="spellEnd"/>
            <w:r w:rsidRPr="002E21DF">
              <w:rPr>
                <w:color w:val="000000" w:themeColor="text1"/>
              </w:rPr>
              <w:t xml:space="preserve"> bunker</w:t>
            </w:r>
            <w:r w:rsidR="002E21DF">
              <w:rPr>
                <w:color w:val="000000" w:themeColor="text1"/>
              </w:rPr>
              <w:t xml:space="preserve"> </w:t>
            </w:r>
            <w:r w:rsidRPr="002E21DF">
              <w:rPr>
                <w:color w:val="000000" w:themeColor="text1"/>
              </w:rPr>
              <w:t>index (Singapore price) on the first day of loading to be used to determine bunker prices.</w:t>
            </w:r>
          </w:p>
          <w:p w14:paraId="4CABB09B" w14:textId="6833B79C" w:rsidR="002379C9" w:rsidRPr="00677A8C" w:rsidRDefault="002E21DF" w:rsidP="002379C9">
            <w:r>
              <w:t>-</w:t>
            </w:r>
            <w:r w:rsidR="002379C9" w:rsidRPr="00677A8C">
              <w:t xml:space="preserve">The Merchant [Charterer] shall assume </w:t>
            </w:r>
            <w:proofErr w:type="gramStart"/>
            <w:r w:rsidR="002379C9" w:rsidRPr="00677A8C">
              <w:t>any and all</w:t>
            </w:r>
            <w:proofErr w:type="gramEnd"/>
            <w:r w:rsidR="002379C9" w:rsidRPr="00677A8C">
              <w:t xml:space="preserve"> consequences of email communications between the parties being</w:t>
            </w:r>
          </w:p>
          <w:p w14:paraId="71A31ADA" w14:textId="77777777" w:rsidR="002379C9" w:rsidRPr="00677A8C" w:rsidRDefault="002379C9" w:rsidP="002379C9">
            <w:r w:rsidRPr="00677A8C">
              <w:t>hacked, forged or otherwise compromised in connection with the provision of fraudulent bank wiring instructions/payment</w:t>
            </w:r>
          </w:p>
          <w:p w14:paraId="194A074C" w14:textId="77777777" w:rsidR="002379C9" w:rsidRPr="00677A8C" w:rsidRDefault="002379C9" w:rsidP="002379C9">
            <w:r w:rsidRPr="00677A8C">
              <w:t>information. The Merchant [Charterer] shall always confirm all appropriate payment details, including but not limited to</w:t>
            </w:r>
          </w:p>
          <w:p w14:paraId="4806A9E1" w14:textId="77777777" w:rsidR="002379C9" w:rsidRPr="00677A8C" w:rsidRDefault="002379C9" w:rsidP="002379C9">
            <w:r w:rsidRPr="00677A8C">
              <w:t>bank account numbers and email accounts prior to making any payments and contact the Carrier by telephone if in doubt.</w:t>
            </w:r>
          </w:p>
          <w:p w14:paraId="42AFEA37" w14:textId="77777777" w:rsidR="002379C9" w:rsidRPr="00677A8C" w:rsidRDefault="002379C9" w:rsidP="002379C9">
            <w:r w:rsidRPr="00677A8C">
              <w:t>Nothing in this clause shall be taken as a waiver by the Carrier of the Merchant’s [Charterer’s] obligation to make timely</w:t>
            </w:r>
          </w:p>
          <w:p w14:paraId="71B912C6" w14:textId="77777777" w:rsidR="002379C9" w:rsidRPr="00677A8C" w:rsidRDefault="002379C9" w:rsidP="002379C9">
            <w:r w:rsidRPr="00677A8C">
              <w:t>payments for all sums due hereunder.</w:t>
            </w:r>
          </w:p>
          <w:p w14:paraId="64122B1E" w14:textId="77777777" w:rsidR="002379C9" w:rsidRPr="002379C9" w:rsidRDefault="002379C9" w:rsidP="002379C9">
            <w:pPr>
              <w:rPr>
                <w:color w:val="FF0000"/>
              </w:rPr>
            </w:pPr>
          </w:p>
          <w:p w14:paraId="280CFB09" w14:textId="100267E5" w:rsidR="002379C9" w:rsidRPr="00677A8C" w:rsidRDefault="002379C9" w:rsidP="002379C9">
            <w:r w:rsidRPr="00677A8C">
              <w:t xml:space="preserve">Beneficiary </w:t>
            </w:r>
            <w:proofErr w:type="gramStart"/>
            <w:r w:rsidRPr="00677A8C">
              <w:t>Bank :</w:t>
            </w:r>
            <w:proofErr w:type="gramEnd"/>
            <w:r w:rsidRPr="00677A8C">
              <w:t xml:space="preserve"> </w:t>
            </w:r>
            <w:r w:rsidR="00677A8C" w:rsidRPr="00677A8C">
              <w:t>XXXX</w:t>
            </w:r>
          </w:p>
          <w:p w14:paraId="5606CC75" w14:textId="7044D3F4" w:rsidR="002379C9" w:rsidRPr="00677A8C" w:rsidRDefault="002379C9" w:rsidP="002379C9">
            <w:r w:rsidRPr="00677A8C">
              <w:t>BIC/</w:t>
            </w:r>
            <w:proofErr w:type="gramStart"/>
            <w:r w:rsidRPr="00677A8C">
              <w:t>SWIFT :</w:t>
            </w:r>
            <w:proofErr w:type="gramEnd"/>
            <w:r w:rsidRPr="00677A8C">
              <w:t xml:space="preserve"> </w:t>
            </w:r>
            <w:r w:rsidR="00677A8C" w:rsidRPr="00677A8C">
              <w:t>XXXX</w:t>
            </w:r>
          </w:p>
          <w:p w14:paraId="5DDE8336" w14:textId="350CCB5F" w:rsidR="002379C9" w:rsidRPr="00677A8C" w:rsidRDefault="002379C9" w:rsidP="002379C9">
            <w:r w:rsidRPr="00677A8C">
              <w:t xml:space="preserve">Bank </w:t>
            </w:r>
            <w:proofErr w:type="gramStart"/>
            <w:r w:rsidRPr="00677A8C">
              <w:t>Account :</w:t>
            </w:r>
            <w:proofErr w:type="gramEnd"/>
            <w:r w:rsidRPr="00677A8C">
              <w:t xml:space="preserve"> </w:t>
            </w:r>
            <w:r w:rsidR="00677A8C" w:rsidRPr="00677A8C">
              <w:t>XXXXXX</w:t>
            </w:r>
          </w:p>
          <w:p w14:paraId="3C5C9F3C" w14:textId="258A6739" w:rsidR="002379C9" w:rsidRPr="00677A8C" w:rsidRDefault="002379C9" w:rsidP="002379C9">
            <w:r w:rsidRPr="00677A8C">
              <w:t xml:space="preserve">Beneficiary </w:t>
            </w:r>
            <w:proofErr w:type="gramStart"/>
            <w:r w:rsidRPr="00677A8C">
              <w:t>Name :</w:t>
            </w:r>
            <w:proofErr w:type="gramEnd"/>
            <w:r w:rsidRPr="00677A8C">
              <w:t xml:space="preserve"> FLS </w:t>
            </w:r>
            <w:r w:rsidR="00677A8C" w:rsidRPr="00677A8C">
              <w:t>XXXX</w:t>
            </w:r>
          </w:p>
          <w:p w14:paraId="18597B86" w14:textId="48559ADC" w:rsidR="003563B1" w:rsidRPr="00A77711" w:rsidRDefault="003563B1" w:rsidP="00947A16">
            <w:pPr>
              <w:rPr>
                <w:color w:val="FF0000"/>
              </w:rPr>
            </w:pPr>
          </w:p>
          <w:p w14:paraId="4C074EFE" w14:textId="7EB9A859" w:rsidR="00323410" w:rsidRDefault="00A06EEC" w:rsidP="00A06EEC">
            <w:r>
              <w:t>-</w:t>
            </w:r>
            <w:r w:rsidR="00947A16">
              <w:t>R</w:t>
            </w:r>
            <w:r>
              <w:t>est as per FLS B/L terms (“</w:t>
            </w:r>
            <w:r w:rsidRPr="000B6CD0">
              <w:t>FLS Projects Chartering Ltd Bill of Lading Terms - rev0</w:t>
            </w:r>
            <w:r w:rsidR="0015402D">
              <w:t>6</w:t>
            </w:r>
            <w:r>
              <w:t>”)</w:t>
            </w:r>
          </w:p>
          <w:p w14:paraId="661BEF8B" w14:textId="4957E55F" w:rsidR="00947A16" w:rsidRDefault="00947A16" w:rsidP="00A06EEC"/>
        </w:tc>
      </w:tr>
      <w:tr w:rsidR="00284E09" w14:paraId="6AE4BC4A" w14:textId="77777777" w:rsidTr="69E883DE">
        <w:trPr>
          <w:trHeight w:val="523"/>
        </w:trPr>
        <w:tc>
          <w:tcPr>
            <w:tcW w:w="11695" w:type="dxa"/>
            <w:gridSpan w:val="4"/>
            <w:tcBorders>
              <w:left w:val="nil"/>
              <w:right w:val="nil"/>
            </w:tcBorders>
          </w:tcPr>
          <w:p w14:paraId="4DA4775B" w14:textId="77777777" w:rsidR="00C4523C" w:rsidRPr="00C4523C" w:rsidRDefault="00C4523C" w:rsidP="00C4523C">
            <w:r w:rsidRPr="00C4523C">
              <w:lastRenderedPageBreak/>
              <w:t xml:space="preserve">It is hereby agreed that this contract shall be </w:t>
            </w:r>
            <w:proofErr w:type="gramStart"/>
            <w:r w:rsidRPr="00C4523C">
              <w:t>performed</w:t>
            </w:r>
            <w:proofErr w:type="gramEnd"/>
            <w:r w:rsidRPr="00C4523C">
              <w:t xml:space="preserve"> subject to the terms contained on page 1 hereof, which shall prevail</w:t>
            </w:r>
          </w:p>
          <w:p w14:paraId="3983C77C" w14:textId="77777777" w:rsidR="00C4523C" w:rsidRPr="00C4523C" w:rsidRDefault="00C4523C" w:rsidP="00C4523C">
            <w:r w:rsidRPr="00C4523C">
              <w:t xml:space="preserve">over any previous arrangements and which shall in turn be superseded (except of special terms, </w:t>
            </w:r>
            <w:proofErr w:type="spellStart"/>
            <w:r w:rsidRPr="00C4523C">
              <w:t>deadfreight</w:t>
            </w:r>
            <w:proofErr w:type="spellEnd"/>
            <w:r w:rsidRPr="00C4523C">
              <w:t>, detention,</w:t>
            </w:r>
          </w:p>
          <w:p w14:paraId="0F88A954" w14:textId="77777777" w:rsidR="00C4523C" w:rsidRPr="00C4523C" w:rsidRDefault="00C4523C" w:rsidP="00C4523C">
            <w:r w:rsidRPr="00C4523C">
              <w:t>demurrages) by the terms of the Bill of Lading</w:t>
            </w:r>
          </w:p>
          <w:p w14:paraId="7FAB54E4" w14:textId="0925101F" w:rsidR="00C4523C" w:rsidRDefault="00C4523C" w:rsidP="00A26C44"/>
        </w:tc>
      </w:tr>
      <w:tr w:rsidR="00284E09" w14:paraId="228152D6" w14:textId="77777777" w:rsidTr="69E883DE">
        <w:trPr>
          <w:trHeight w:val="1261"/>
        </w:trPr>
        <w:tc>
          <w:tcPr>
            <w:tcW w:w="5485" w:type="dxa"/>
          </w:tcPr>
          <w:p w14:paraId="08BA027B" w14:textId="4122DAA3" w:rsidR="00284E09" w:rsidRDefault="00284E09" w:rsidP="00284E09">
            <w:r>
              <w:t>Signature</w:t>
            </w:r>
          </w:p>
        </w:tc>
        <w:tc>
          <w:tcPr>
            <w:tcW w:w="6210" w:type="dxa"/>
            <w:gridSpan w:val="3"/>
          </w:tcPr>
          <w:p w14:paraId="3594A4C1" w14:textId="63213669" w:rsidR="00284E09" w:rsidRDefault="00284E09" w:rsidP="00284E09">
            <w:r>
              <w:t>Signature (Carrier) as agents for and on behalf of the carrier</w:t>
            </w:r>
          </w:p>
        </w:tc>
      </w:tr>
    </w:tbl>
    <w:p w14:paraId="4AAD4BBE" w14:textId="367FF296" w:rsidR="007F4CF2" w:rsidRDefault="007F4CF2" w:rsidP="00987B13"/>
    <w:p w14:paraId="7CB4DBD2" w14:textId="77777777" w:rsidR="00CE6996" w:rsidRDefault="00CE6996" w:rsidP="00987B13"/>
    <w:sectPr w:rsidR="00CE6996" w:rsidSect="00FB0810">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47B"/>
    <w:multiLevelType w:val="hybridMultilevel"/>
    <w:tmpl w:val="6B60C278"/>
    <w:lvl w:ilvl="0" w:tplc="D2AC9616">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ECF"/>
    <w:multiLevelType w:val="hybridMultilevel"/>
    <w:tmpl w:val="2880235E"/>
    <w:lvl w:ilvl="0" w:tplc="7B68D8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C105C"/>
    <w:multiLevelType w:val="hybridMultilevel"/>
    <w:tmpl w:val="EE583E92"/>
    <w:lvl w:ilvl="0" w:tplc="8EFA7B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A32A2"/>
    <w:multiLevelType w:val="hybridMultilevel"/>
    <w:tmpl w:val="46409A8A"/>
    <w:lvl w:ilvl="0" w:tplc="ECC4CC6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9418E"/>
    <w:multiLevelType w:val="hybridMultilevel"/>
    <w:tmpl w:val="36501B74"/>
    <w:lvl w:ilvl="0" w:tplc="0360E4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D60C3"/>
    <w:multiLevelType w:val="hybridMultilevel"/>
    <w:tmpl w:val="BE484FE2"/>
    <w:lvl w:ilvl="0" w:tplc="45704F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1610D"/>
    <w:multiLevelType w:val="hybridMultilevel"/>
    <w:tmpl w:val="30B63CCA"/>
    <w:lvl w:ilvl="0" w:tplc="4148C8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954421">
    <w:abstractNumId w:val="4"/>
  </w:num>
  <w:num w:numId="2" w16cid:durableId="1326934469">
    <w:abstractNumId w:val="3"/>
  </w:num>
  <w:num w:numId="3" w16cid:durableId="1757358294">
    <w:abstractNumId w:val="2"/>
  </w:num>
  <w:num w:numId="4" w16cid:durableId="184901885">
    <w:abstractNumId w:val="6"/>
  </w:num>
  <w:num w:numId="5" w16cid:durableId="718824293">
    <w:abstractNumId w:val="0"/>
  </w:num>
  <w:num w:numId="6" w16cid:durableId="925460861">
    <w:abstractNumId w:val="5"/>
  </w:num>
  <w:num w:numId="7" w16cid:durableId="95671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AA"/>
    <w:rsid w:val="00007254"/>
    <w:rsid w:val="00011DDD"/>
    <w:rsid w:val="00013992"/>
    <w:rsid w:val="00024B2D"/>
    <w:rsid w:val="00033B15"/>
    <w:rsid w:val="000455AD"/>
    <w:rsid w:val="000501F3"/>
    <w:rsid w:val="00061706"/>
    <w:rsid w:val="00070228"/>
    <w:rsid w:val="00070A85"/>
    <w:rsid w:val="00074874"/>
    <w:rsid w:val="00080638"/>
    <w:rsid w:val="00085316"/>
    <w:rsid w:val="00087847"/>
    <w:rsid w:val="000A42B3"/>
    <w:rsid w:val="000B0E08"/>
    <w:rsid w:val="000B6CD0"/>
    <w:rsid w:val="000C5D88"/>
    <w:rsid w:val="000D2242"/>
    <w:rsid w:val="000E0C35"/>
    <w:rsid w:val="000E23BF"/>
    <w:rsid w:val="000E6165"/>
    <w:rsid w:val="001145D9"/>
    <w:rsid w:val="00134E6A"/>
    <w:rsid w:val="00136D9A"/>
    <w:rsid w:val="00144CB4"/>
    <w:rsid w:val="0015282A"/>
    <w:rsid w:val="0015402D"/>
    <w:rsid w:val="00155BFE"/>
    <w:rsid w:val="001612C9"/>
    <w:rsid w:val="00162CB6"/>
    <w:rsid w:val="00170C4A"/>
    <w:rsid w:val="00171D34"/>
    <w:rsid w:val="001867DF"/>
    <w:rsid w:val="001D1AAD"/>
    <w:rsid w:val="001E5A2D"/>
    <w:rsid w:val="00200EF3"/>
    <w:rsid w:val="00213F3A"/>
    <w:rsid w:val="00215317"/>
    <w:rsid w:val="002153C6"/>
    <w:rsid w:val="00236241"/>
    <w:rsid w:val="002379C9"/>
    <w:rsid w:val="002515AE"/>
    <w:rsid w:val="002544E8"/>
    <w:rsid w:val="00266D71"/>
    <w:rsid w:val="00272F73"/>
    <w:rsid w:val="0027309F"/>
    <w:rsid w:val="0028371A"/>
    <w:rsid w:val="00284E09"/>
    <w:rsid w:val="002A316F"/>
    <w:rsid w:val="002A370F"/>
    <w:rsid w:val="002B3704"/>
    <w:rsid w:val="002E21DF"/>
    <w:rsid w:val="002E25CF"/>
    <w:rsid w:val="002E5B82"/>
    <w:rsid w:val="002E654D"/>
    <w:rsid w:val="00300980"/>
    <w:rsid w:val="0030285D"/>
    <w:rsid w:val="00302F98"/>
    <w:rsid w:val="0030362E"/>
    <w:rsid w:val="00322B32"/>
    <w:rsid w:val="00323410"/>
    <w:rsid w:val="00326461"/>
    <w:rsid w:val="00330D5C"/>
    <w:rsid w:val="00342960"/>
    <w:rsid w:val="003432CD"/>
    <w:rsid w:val="003514CB"/>
    <w:rsid w:val="00351D4E"/>
    <w:rsid w:val="003522F1"/>
    <w:rsid w:val="003542E9"/>
    <w:rsid w:val="003563B1"/>
    <w:rsid w:val="003577F6"/>
    <w:rsid w:val="00361BCA"/>
    <w:rsid w:val="0036424D"/>
    <w:rsid w:val="00377C7A"/>
    <w:rsid w:val="00383255"/>
    <w:rsid w:val="00386593"/>
    <w:rsid w:val="0039404B"/>
    <w:rsid w:val="003962F7"/>
    <w:rsid w:val="003B0454"/>
    <w:rsid w:val="003B5131"/>
    <w:rsid w:val="003C71FC"/>
    <w:rsid w:val="003C7865"/>
    <w:rsid w:val="003D00EB"/>
    <w:rsid w:val="003E2224"/>
    <w:rsid w:val="003F2F22"/>
    <w:rsid w:val="003F6D23"/>
    <w:rsid w:val="00416CC0"/>
    <w:rsid w:val="0042498F"/>
    <w:rsid w:val="00433F5C"/>
    <w:rsid w:val="004369D5"/>
    <w:rsid w:val="00437BEE"/>
    <w:rsid w:val="0046121B"/>
    <w:rsid w:val="00466018"/>
    <w:rsid w:val="00473F3F"/>
    <w:rsid w:val="004851DD"/>
    <w:rsid w:val="00492151"/>
    <w:rsid w:val="004A0701"/>
    <w:rsid w:val="004A281E"/>
    <w:rsid w:val="004A2B1A"/>
    <w:rsid w:val="004B3224"/>
    <w:rsid w:val="004B3783"/>
    <w:rsid w:val="004B7C61"/>
    <w:rsid w:val="004C11FB"/>
    <w:rsid w:val="004C1341"/>
    <w:rsid w:val="004D13A7"/>
    <w:rsid w:val="004D2624"/>
    <w:rsid w:val="004D40C6"/>
    <w:rsid w:val="005136C5"/>
    <w:rsid w:val="00520589"/>
    <w:rsid w:val="00522041"/>
    <w:rsid w:val="00530F5C"/>
    <w:rsid w:val="00554A33"/>
    <w:rsid w:val="00566AF3"/>
    <w:rsid w:val="005807F2"/>
    <w:rsid w:val="005822AB"/>
    <w:rsid w:val="00590B6F"/>
    <w:rsid w:val="0059247A"/>
    <w:rsid w:val="0059261A"/>
    <w:rsid w:val="005A3983"/>
    <w:rsid w:val="005E13F4"/>
    <w:rsid w:val="005F2E74"/>
    <w:rsid w:val="005F6B3A"/>
    <w:rsid w:val="006041CF"/>
    <w:rsid w:val="00616981"/>
    <w:rsid w:val="00626BD3"/>
    <w:rsid w:val="006330B2"/>
    <w:rsid w:val="00634CF9"/>
    <w:rsid w:val="00635943"/>
    <w:rsid w:val="006427C1"/>
    <w:rsid w:val="00643BFD"/>
    <w:rsid w:val="006502A6"/>
    <w:rsid w:val="006553DF"/>
    <w:rsid w:val="006571AC"/>
    <w:rsid w:val="0066035C"/>
    <w:rsid w:val="006630EB"/>
    <w:rsid w:val="006647CB"/>
    <w:rsid w:val="0066604F"/>
    <w:rsid w:val="00666BFF"/>
    <w:rsid w:val="00667BAB"/>
    <w:rsid w:val="006707E9"/>
    <w:rsid w:val="006734B9"/>
    <w:rsid w:val="00677A8C"/>
    <w:rsid w:val="00682234"/>
    <w:rsid w:val="006827E9"/>
    <w:rsid w:val="0068467A"/>
    <w:rsid w:val="00696485"/>
    <w:rsid w:val="006A0974"/>
    <w:rsid w:val="006A5EE7"/>
    <w:rsid w:val="006A76CB"/>
    <w:rsid w:val="006A78A4"/>
    <w:rsid w:val="006C203A"/>
    <w:rsid w:val="006C6626"/>
    <w:rsid w:val="006D352F"/>
    <w:rsid w:val="007062A3"/>
    <w:rsid w:val="0071328E"/>
    <w:rsid w:val="007138A6"/>
    <w:rsid w:val="00724AB1"/>
    <w:rsid w:val="00735373"/>
    <w:rsid w:val="00737CD3"/>
    <w:rsid w:val="00740CE1"/>
    <w:rsid w:val="00775AE5"/>
    <w:rsid w:val="00782C3D"/>
    <w:rsid w:val="00786BEF"/>
    <w:rsid w:val="00787E13"/>
    <w:rsid w:val="007A0DB3"/>
    <w:rsid w:val="007A0EFC"/>
    <w:rsid w:val="007A69C5"/>
    <w:rsid w:val="007A7A7F"/>
    <w:rsid w:val="007A7C51"/>
    <w:rsid w:val="007D15AA"/>
    <w:rsid w:val="007E77F1"/>
    <w:rsid w:val="007F1417"/>
    <w:rsid w:val="007F4CF2"/>
    <w:rsid w:val="0080246B"/>
    <w:rsid w:val="00804C68"/>
    <w:rsid w:val="008055EE"/>
    <w:rsid w:val="00814890"/>
    <w:rsid w:val="00821C0E"/>
    <w:rsid w:val="00851F05"/>
    <w:rsid w:val="0085248A"/>
    <w:rsid w:val="00857775"/>
    <w:rsid w:val="008667C4"/>
    <w:rsid w:val="00876AB0"/>
    <w:rsid w:val="008809BC"/>
    <w:rsid w:val="00880DB7"/>
    <w:rsid w:val="00885648"/>
    <w:rsid w:val="008906F8"/>
    <w:rsid w:val="00897776"/>
    <w:rsid w:val="00897B09"/>
    <w:rsid w:val="008A1087"/>
    <w:rsid w:val="008B04E9"/>
    <w:rsid w:val="008B0E59"/>
    <w:rsid w:val="008B6B31"/>
    <w:rsid w:val="008C50D6"/>
    <w:rsid w:val="008D3817"/>
    <w:rsid w:val="008D62F6"/>
    <w:rsid w:val="008E370A"/>
    <w:rsid w:val="00902451"/>
    <w:rsid w:val="00903B90"/>
    <w:rsid w:val="009138F3"/>
    <w:rsid w:val="009354DB"/>
    <w:rsid w:val="00943B4D"/>
    <w:rsid w:val="00947A16"/>
    <w:rsid w:val="00952851"/>
    <w:rsid w:val="0096490A"/>
    <w:rsid w:val="00965180"/>
    <w:rsid w:val="009719DE"/>
    <w:rsid w:val="0097263F"/>
    <w:rsid w:val="0097653B"/>
    <w:rsid w:val="00984E74"/>
    <w:rsid w:val="009874B3"/>
    <w:rsid w:val="00987ABE"/>
    <w:rsid w:val="00987B13"/>
    <w:rsid w:val="009915B5"/>
    <w:rsid w:val="009915CA"/>
    <w:rsid w:val="00995A00"/>
    <w:rsid w:val="009B1281"/>
    <w:rsid w:val="009B1FB5"/>
    <w:rsid w:val="009B2306"/>
    <w:rsid w:val="009D1149"/>
    <w:rsid w:val="009F64B7"/>
    <w:rsid w:val="00A068E6"/>
    <w:rsid w:val="00A06EEC"/>
    <w:rsid w:val="00A26C44"/>
    <w:rsid w:val="00A5430A"/>
    <w:rsid w:val="00A575F5"/>
    <w:rsid w:val="00A6311A"/>
    <w:rsid w:val="00A77711"/>
    <w:rsid w:val="00A848D3"/>
    <w:rsid w:val="00AB713E"/>
    <w:rsid w:val="00AC59A0"/>
    <w:rsid w:val="00AC5EA0"/>
    <w:rsid w:val="00AC7D00"/>
    <w:rsid w:val="00AD2B30"/>
    <w:rsid w:val="00AD6DC0"/>
    <w:rsid w:val="00AE39D6"/>
    <w:rsid w:val="00AF1A10"/>
    <w:rsid w:val="00B00B43"/>
    <w:rsid w:val="00B026CA"/>
    <w:rsid w:val="00B14A81"/>
    <w:rsid w:val="00B15517"/>
    <w:rsid w:val="00B3247D"/>
    <w:rsid w:val="00B33985"/>
    <w:rsid w:val="00B42D57"/>
    <w:rsid w:val="00B608B6"/>
    <w:rsid w:val="00B61A3B"/>
    <w:rsid w:val="00B663E2"/>
    <w:rsid w:val="00BA67FC"/>
    <w:rsid w:val="00BB7A25"/>
    <w:rsid w:val="00BD0F03"/>
    <w:rsid w:val="00BE5F68"/>
    <w:rsid w:val="00BF296E"/>
    <w:rsid w:val="00C13CF6"/>
    <w:rsid w:val="00C3176A"/>
    <w:rsid w:val="00C3228C"/>
    <w:rsid w:val="00C37063"/>
    <w:rsid w:val="00C411B5"/>
    <w:rsid w:val="00C4523C"/>
    <w:rsid w:val="00C56F90"/>
    <w:rsid w:val="00C72567"/>
    <w:rsid w:val="00C919B9"/>
    <w:rsid w:val="00C95FAF"/>
    <w:rsid w:val="00CC5BE2"/>
    <w:rsid w:val="00CE558E"/>
    <w:rsid w:val="00CE6996"/>
    <w:rsid w:val="00CF1042"/>
    <w:rsid w:val="00CF1069"/>
    <w:rsid w:val="00D06FAF"/>
    <w:rsid w:val="00D228B8"/>
    <w:rsid w:val="00D24A4D"/>
    <w:rsid w:val="00D25519"/>
    <w:rsid w:val="00D2733E"/>
    <w:rsid w:val="00D33824"/>
    <w:rsid w:val="00D3527A"/>
    <w:rsid w:val="00D40F5B"/>
    <w:rsid w:val="00D46E07"/>
    <w:rsid w:val="00D520A8"/>
    <w:rsid w:val="00D52524"/>
    <w:rsid w:val="00D64D82"/>
    <w:rsid w:val="00D754D1"/>
    <w:rsid w:val="00D96B5C"/>
    <w:rsid w:val="00DA4186"/>
    <w:rsid w:val="00DB0382"/>
    <w:rsid w:val="00DB55F0"/>
    <w:rsid w:val="00DC2694"/>
    <w:rsid w:val="00DC274A"/>
    <w:rsid w:val="00DC585C"/>
    <w:rsid w:val="00DD0BA3"/>
    <w:rsid w:val="00DE02B3"/>
    <w:rsid w:val="00E126C1"/>
    <w:rsid w:val="00E12B97"/>
    <w:rsid w:val="00E24D45"/>
    <w:rsid w:val="00E3031C"/>
    <w:rsid w:val="00E6293B"/>
    <w:rsid w:val="00E667DC"/>
    <w:rsid w:val="00EA3560"/>
    <w:rsid w:val="00EA5FF2"/>
    <w:rsid w:val="00EB731B"/>
    <w:rsid w:val="00EC32E8"/>
    <w:rsid w:val="00EE3593"/>
    <w:rsid w:val="00EE50D6"/>
    <w:rsid w:val="00EE5BAA"/>
    <w:rsid w:val="00EF79E5"/>
    <w:rsid w:val="00F10A07"/>
    <w:rsid w:val="00F12154"/>
    <w:rsid w:val="00F15C34"/>
    <w:rsid w:val="00F17A52"/>
    <w:rsid w:val="00F22114"/>
    <w:rsid w:val="00F45F5E"/>
    <w:rsid w:val="00F5100B"/>
    <w:rsid w:val="00F74FC0"/>
    <w:rsid w:val="00FA1A3E"/>
    <w:rsid w:val="00FB0810"/>
    <w:rsid w:val="00FB2A14"/>
    <w:rsid w:val="00FB51AC"/>
    <w:rsid w:val="00FC0BD6"/>
    <w:rsid w:val="00FC6988"/>
    <w:rsid w:val="00FD3C69"/>
    <w:rsid w:val="00FE261B"/>
    <w:rsid w:val="00FE3E31"/>
    <w:rsid w:val="00FE7E3A"/>
    <w:rsid w:val="00FF0733"/>
    <w:rsid w:val="00FF17DA"/>
    <w:rsid w:val="03E5CE30"/>
    <w:rsid w:val="1DF236E0"/>
    <w:rsid w:val="32884B8C"/>
    <w:rsid w:val="4D2E993F"/>
    <w:rsid w:val="69E883DE"/>
    <w:rsid w:val="6FC0B567"/>
    <w:rsid w:val="716FB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9FD6"/>
  <w15:chartTrackingRefBased/>
  <w15:docId w15:val="{12BF5515-705A-4C7D-B6C7-AE61686B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CF2"/>
    <w:pPr>
      <w:ind w:left="720"/>
      <w:contextualSpacing/>
    </w:pPr>
  </w:style>
  <w:style w:type="paragraph" w:customStyle="1" w:styleId="Default">
    <w:name w:val="Default"/>
    <w:rsid w:val="0008063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1087"/>
    <w:pPr>
      <w:spacing w:after="0" w:line="240" w:lineRule="auto"/>
    </w:pPr>
    <w:rPr>
      <w:szCs w:val="28"/>
      <w:lang w:bidi="th-TH"/>
    </w:rPr>
  </w:style>
  <w:style w:type="character" w:styleId="Hyperlink">
    <w:name w:val="Hyperlink"/>
    <w:basedOn w:val="DefaultParagraphFont"/>
    <w:uiPriority w:val="99"/>
    <w:unhideWhenUsed/>
    <w:rsid w:val="009719DE"/>
    <w:rPr>
      <w:color w:val="0563C1" w:themeColor="hyperlink"/>
      <w:u w:val="single"/>
    </w:rPr>
  </w:style>
  <w:style w:type="paragraph" w:customStyle="1" w:styleId="xxxxxmsonormal">
    <w:name w:val="x_x_xxxmsonormal"/>
    <w:basedOn w:val="Normal"/>
    <w:rsid w:val="00EE5BAA"/>
    <w:pPr>
      <w:spacing w:after="0" w:line="240" w:lineRule="auto"/>
    </w:pPr>
    <w:rPr>
      <w:rFonts w:ascii="SimSun" w:eastAsia="SimSun" w:hAnsi="SimSun" w:cs="SimSun"/>
      <w:sz w:val="24"/>
      <w:szCs w:val="24"/>
      <w:lang w:eastAsia="zh-CN"/>
    </w:rPr>
  </w:style>
  <w:style w:type="character" w:styleId="UnresolvedMention">
    <w:name w:val="Unresolved Mention"/>
    <w:basedOn w:val="DefaultParagraphFont"/>
    <w:uiPriority w:val="99"/>
    <w:semiHidden/>
    <w:unhideWhenUsed/>
    <w:rsid w:val="00A06EEC"/>
    <w:rPr>
      <w:color w:val="605E5C"/>
      <w:shd w:val="clear" w:color="auto" w:fill="E1DFDD"/>
    </w:rPr>
  </w:style>
  <w:style w:type="paragraph" w:styleId="NormalWeb">
    <w:name w:val="Normal (Web)"/>
    <w:basedOn w:val="Normal"/>
    <w:uiPriority w:val="99"/>
    <w:unhideWhenUsed/>
    <w:rsid w:val="003E222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97235">
      <w:bodyDiv w:val="1"/>
      <w:marLeft w:val="0"/>
      <w:marRight w:val="0"/>
      <w:marTop w:val="0"/>
      <w:marBottom w:val="0"/>
      <w:divBdr>
        <w:top w:val="none" w:sz="0" w:space="0" w:color="auto"/>
        <w:left w:val="none" w:sz="0" w:space="0" w:color="auto"/>
        <w:bottom w:val="none" w:sz="0" w:space="0" w:color="auto"/>
        <w:right w:val="none" w:sz="0" w:space="0" w:color="auto"/>
      </w:divBdr>
    </w:div>
    <w:div w:id="16215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C527B4EBF4B84DA45EEF56660CDD64" ma:contentTypeVersion="11" ma:contentTypeDescription="Create a new document." ma:contentTypeScope="" ma:versionID="e8d65a7aa56d9d6b654a02a94b9917a5">
  <xsd:schema xmlns:xsd="http://www.w3.org/2001/XMLSchema" xmlns:xs="http://www.w3.org/2001/XMLSchema" xmlns:p="http://schemas.microsoft.com/office/2006/metadata/properties" xmlns:ns2="76ce67ae-afa4-4852-b6d6-1eb4b294d6da" xmlns:ns3="736786cf-a169-4386-b844-8a64f6dcad06" targetNamespace="http://schemas.microsoft.com/office/2006/metadata/properties" ma:root="true" ma:fieldsID="4f6405e46b1916863d8aebe86738c93a" ns2:_="" ns3:_="">
    <xsd:import namespace="76ce67ae-afa4-4852-b6d6-1eb4b294d6da"/>
    <xsd:import namespace="736786cf-a169-4386-b844-8a64f6dcad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e67ae-afa4-4852-b6d6-1eb4b294d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ab841e-66eb-4635-ad38-ce5f343134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86cf-a169-4386-b844-8a64f6dcad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ee21ff-a345-4835-9ce2-0ac5064c7f4e}" ma:internalName="TaxCatchAll" ma:showField="CatchAllData" ma:web="736786cf-a169-4386-b844-8a64f6dca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ce67ae-afa4-4852-b6d6-1eb4b294d6da">
      <Terms xmlns="http://schemas.microsoft.com/office/infopath/2007/PartnerControls"/>
    </lcf76f155ced4ddcb4097134ff3c332f>
    <TaxCatchAll xmlns="736786cf-a169-4386-b844-8a64f6dcad06" xsi:nil="true"/>
  </documentManagement>
</p:properties>
</file>

<file path=customXml/itemProps1.xml><?xml version="1.0" encoding="utf-8"?>
<ds:datastoreItem xmlns:ds="http://schemas.openxmlformats.org/officeDocument/2006/customXml" ds:itemID="{76FF0AD1-BF24-4810-B646-B6B7A90E49EF}">
  <ds:schemaRefs>
    <ds:schemaRef ds:uri="http://schemas.microsoft.com/sharepoint/v3/contenttype/forms"/>
  </ds:schemaRefs>
</ds:datastoreItem>
</file>

<file path=customXml/itemProps2.xml><?xml version="1.0" encoding="utf-8"?>
<ds:datastoreItem xmlns:ds="http://schemas.openxmlformats.org/officeDocument/2006/customXml" ds:itemID="{5A148CC8-A584-4B28-AEEA-5BB72D3502C0}"/>
</file>

<file path=customXml/itemProps3.xml><?xml version="1.0" encoding="utf-8"?>
<ds:datastoreItem xmlns:ds="http://schemas.openxmlformats.org/officeDocument/2006/customXml" ds:itemID="{B5618618-75DB-4AF3-BC3C-CCB4743D3EDD}">
  <ds:schemaRefs>
    <ds:schemaRef ds:uri="http://schemas.microsoft.com/office/2006/metadata/properties"/>
    <ds:schemaRef ds:uri="http://schemas.microsoft.com/office/infopath/2007/PartnerControls"/>
    <ds:schemaRef ds:uri="76ce67ae-afa4-4852-b6d6-1eb4b294d6da"/>
    <ds:schemaRef ds:uri="736786cf-a169-4386-b844-8a64f6dcad0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1082</Words>
  <Characters>5776</Characters>
  <Application>Microsoft Office Word</Application>
  <DocSecurity>4</DocSecurity>
  <Lines>114</Lines>
  <Paragraphs>71</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Khuong Nguyen</cp:lastModifiedBy>
  <cp:revision>2</cp:revision>
  <cp:lastPrinted>2025-06-15T18:32:00Z</cp:lastPrinted>
  <dcterms:created xsi:type="dcterms:W3CDTF">2025-11-14T11:03:00Z</dcterms:created>
  <dcterms:modified xsi:type="dcterms:W3CDTF">2025-11-14T11:03:00Z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0x01010021C527B4EBF4B84DA45EEF56660CDD64</vt:lpwstr>
  </property>
  <property fmtid="{D5CDD505-2E9C-101B-9397-08002B2CF9AE}" pid="3" name="MediaServiceImageTags">
    <vt:lpwstr/>
  </property>
</Properties>
</file>